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Меры поддержки субъектов малого и среднего предпринимательства (МСП) и системообразующих </w:t>
        <w:br w:type="textWrapping"/>
        <w:t xml:space="preserve">организаций (СО), в том числе ведущих деятельность в пострадавших отраслях экономики, </w:t>
        <w:br w:type="textWrapping"/>
        <w:t xml:space="preserve">предусмотренные действующим законодательством*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8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4"/>
        <w:gridCol w:w="1134"/>
        <w:gridCol w:w="2693"/>
        <w:gridCol w:w="2414"/>
        <w:gridCol w:w="2693"/>
        <w:tblGridChange w:id="0">
          <w:tblGrid>
            <w:gridCol w:w="7084"/>
            <w:gridCol w:w="1134"/>
            <w:gridCol w:w="2693"/>
            <w:gridCol w:w="2414"/>
            <w:gridCol w:w="2693"/>
          </w:tblGrid>
        </w:tblGridChange>
      </w:tblGrid>
      <w:tr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Мера поддержки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МСП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</w:t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наиболее пострадавших отраслях экономики</w:t>
            </w:r>
          </w:p>
        </w:tc>
      </w:tr>
      <w:tr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МСП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15%-ная ставка страховых взносов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Отсрочка уплаты страховых взносов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Отсрочка по уплате налога на прибыль, единого сельскохозяйственного налога, налогов по УСН и патенту, авансовых платежей по транспортному налогу, земельному налогу и налогу на имущество организаций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Отсрочка уплаты любых налогов, кроме НДС, акцизов, НДПИ, налога на доп. доход от добычи углеводородного сырья)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случае одного из оснований: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снижения доходов более чем на 10 %;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снижения доходов от реализации ТРУ более чем на 10 %;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снижения доходов от реализации ТРУ по операциям, облагаемым нулевым НДС, более чем на 10 %;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получения убытка в 2020 г. при условии отсутствия убытка за аналогичный период 2019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 основании отдельного решения Правительства)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Списание налогов и взносов за 2 кв. 2020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Безвозмездные субсидии на зарплату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грант 1 МРОТ на з/п за 2 мес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Льготный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беспроцентный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кредит на зарплату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Безвозмездные субсидии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 основании отдельного решения Правительства)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 основании отдельного решения Правительства)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Льготные кредиты на пополнение оборотных средств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 основании отдельного решения Правительства)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Невозвратные кредиты за з/п или погашение ранее взятого беспроцентного кредита на з/п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(из отдельного перечня отраслей, требующих поддержки на возобновление деятельности - Пост.Пр. №696)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Мера поддержки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МСП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</w:t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наиболее пострадавших отраслях экономики</w:t>
            </w:r>
          </w:p>
        </w:tc>
      </w:tr>
      <w:tr>
        <w:trPr>
          <w:trHeight w:val="300" w:hRule="atLeast"/>
        </w:trPr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МСП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Кредитные каникулы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Отсрочка арендных платежей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Мораторий на проверки бизнеса 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Отменены все кроме: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внеплановых по фактам причинения вреда жизни/ здоровью/возникновению ЧС;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плановые по производственным объектам, отнесенных к категории чрезвычайно высокого или высокого риска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Отменены все кроме: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внеплановых по фактам причинения вреда жизни/ здоровью/возникновению ЧС;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плановые по производственным объектам, отнесенных к категории чрезвычайно высокого или высокого риска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Федерации»;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Федеральный закон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02.04.2020 N 409 "О мерах по обеспечению устойчивого развития экономики»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03.04.2020 N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24.04.2020 N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инфекции";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10.05.2020 N 651 «О мерах поддержки системообразующих организаций»;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02.04.2020 N 422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занятости»;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24.04.2020 N 582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системообразующим организациям на пополнение оборотных средств";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Постановление Правительства РФ от 16.05.2020 N 696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деятельности".</w:t>
      </w:r>
    </w:p>
    <w:sectPr>
      <w:headerReference r:id="rId6" w:type="default"/>
      <w:pgSz w:h="11906" w:w="16838"/>
      <w:pgMar w:bottom="284" w:top="426" w:left="709" w:right="536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2020-05-21T10:15:00Z</dcterms:created>
  <dc:creator>Вероника Г. Крючкова</dc:creator>
</cp:coreProperties>
</file>